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BCF0" w14:textId="77777777" w:rsidR="00B573DB" w:rsidRPr="00B573DB" w:rsidRDefault="00B573DB" w:rsidP="00B573DB">
      <w:pPr>
        <w:spacing w:before="300" w:after="150"/>
        <w:outlineLvl w:val="2"/>
        <w:rPr>
          <w:rFonts w:ascii="Helvetica Neue" w:eastAsia="Times New Roman" w:hAnsi="Helvetica Neue" w:cs="Times New Roman"/>
          <w:sz w:val="36"/>
          <w:szCs w:val="36"/>
          <w:lang w:eastAsia="ru-RU"/>
        </w:rPr>
      </w:pPr>
      <w:r w:rsidRPr="00B573DB">
        <w:rPr>
          <w:rFonts w:ascii="Helvetica Neue" w:eastAsia="Times New Roman" w:hAnsi="Helvetica Neue" w:cs="Times New Roman"/>
          <w:sz w:val="36"/>
          <w:szCs w:val="36"/>
          <w:lang w:eastAsia="ru-RU"/>
        </w:rPr>
        <w:t>Перечень документов, необходимых для оформления специальных разрешений на движение транспортного средства, осуществляющего перевозки тяжеловесных и(или) крупногабаритных грузов</w:t>
      </w:r>
    </w:p>
    <w:p w14:paraId="33C8335B" w14:textId="77777777" w:rsidR="00B573DB" w:rsidRPr="00B573DB" w:rsidRDefault="00B573DB" w:rsidP="00B573DB">
      <w:pPr>
        <w:spacing w:after="150"/>
        <w:rPr>
          <w:rFonts w:ascii="Verdana" w:hAnsi="Verdana" w:cs="Times New Roman"/>
          <w:color w:val="333333"/>
          <w:sz w:val="21"/>
          <w:szCs w:val="21"/>
          <w:lang w:eastAsia="ru-RU"/>
        </w:rPr>
      </w:pP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1. </w:t>
      </w:r>
      <w:hyperlink r:id="rId4" w:history="1">
        <w:r w:rsidRPr="00B573DB">
          <w:rPr>
            <w:rFonts w:ascii="Verdana" w:hAnsi="Verdana" w:cs="Times New Roman"/>
            <w:b/>
            <w:bCs/>
            <w:color w:val="428BCA"/>
            <w:sz w:val="21"/>
            <w:szCs w:val="21"/>
            <w:lang w:eastAsia="ru-RU"/>
          </w:rPr>
          <w:t>Заявление на получение специального разрешения</w:t>
        </w:r>
      </w:hyperlink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 на движение транспортного средства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, осуществляющего перевозки тяжеловесных и (или) крупногабаритных грузов по автомобильным дорогам общего пользования регионального или межмуниципального значения Томской области, установленного образца (в соответствии с приложением №2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№ 258)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Заявление оформляется на русском языке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машинописным текстом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 (буквами латинского алфавита возможно оформление наименования владельца транспортного средства, груза, марок и моделей транспортных средств, их государственных регистрационных знаков);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В случае подачи заявления представителем владельца транспортного средства к заявлению также прилагается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документ, подтверждающий полномочия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 представителя владельца транспортного средства.</w:t>
      </w:r>
    </w:p>
    <w:p w14:paraId="226700C1" w14:textId="77777777" w:rsidR="00B573DB" w:rsidRPr="00B573DB" w:rsidRDefault="00B573DB" w:rsidP="00B573DB">
      <w:pPr>
        <w:spacing w:after="150"/>
        <w:rPr>
          <w:rFonts w:ascii="Verdana" w:hAnsi="Verdana" w:cs="Times New Roman"/>
          <w:color w:val="333333"/>
          <w:sz w:val="21"/>
          <w:szCs w:val="21"/>
          <w:lang w:eastAsia="ru-RU"/>
        </w:rPr>
      </w:pP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2. 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К заявлению прилагаются: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1)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копия документов транспортного средства*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 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(* – Хорошо читаемые заверенные копии (обе стороны) ПТС или свидетельств о регистрации транспортных средств (тягач +прицеп (или полуприцеп)), в случае отсутствия информации о технических характеристиках автотранспортного средства дополнительно можно представить любые иные документы со ссылками на официальный источник о массах пустых (снаряженных) транспортных средств, допустимых массах автопоезда, грузоподъемности (полу)прицепа, погрузочных высот, объемов цистерны и т.д.);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2) </w:t>
      </w:r>
      <w:hyperlink r:id="rId5" w:history="1">
        <w:r w:rsidRPr="00B573DB">
          <w:rPr>
            <w:rFonts w:ascii="Verdana" w:hAnsi="Verdana" w:cs="Times New Roman"/>
            <w:b/>
            <w:bCs/>
            <w:color w:val="428BCA"/>
            <w:sz w:val="21"/>
            <w:szCs w:val="21"/>
            <w:lang w:eastAsia="ru-RU"/>
          </w:rPr>
          <w:t>схема транспортного средства (автопоезда)</w:t>
        </w:r>
      </w:hyperlink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, с использованием которого планируется перевозка тяжеловесных и (или) крупногабаритных грузов, с изображением размещения такого груза (в соответствии с приложением №3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№ 258).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— распределение на отдельные колеса.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 xml:space="preserve">В случае, если заявленное автотранспортное средство оборудовано </w:t>
      </w:r>
      <w:proofErr w:type="spellStart"/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пневмноподвеской</w:t>
      </w:r>
      <w:proofErr w:type="spellEnd"/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 xml:space="preserve"> и/или имеет колеса с двускатной ошиновкой (или более) необходимо обосновать эти технические особенности документально (например, о наличии </w:t>
      </w:r>
      <w:proofErr w:type="spellStart"/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пневмоподвески</w:t>
      </w:r>
      <w:proofErr w:type="spellEnd"/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 xml:space="preserve"> сведения содержатся в одобрении типа транспортного средства, и т.п.);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3)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сведения о технических требованиях к перевозке заявленного груза в транспортном положении**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.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 xml:space="preserve">(** – Документы на груз – где указаны его габариты и масса + учитываются 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lastRenderedPageBreak/>
        <w:t>весогабаритные характеристики дополнительных устройств, тары, упаковки, крепления и пр., если они необходимы для перевозки заявленного груза, эти приспособления можно дополнительно описать в информационном письме. В случае, когда дополнительных требований к перевозке не предъявляется необходимо приложить информационное письмо об этом.)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</w:r>
      <w:hyperlink r:id="rId6" w:tgtFrame="_blank" w:history="1">
        <w:r w:rsidRPr="00B573DB">
          <w:rPr>
            <w:rFonts w:ascii="Verdana" w:hAnsi="Verdana" w:cs="Times New Roman"/>
            <w:color w:val="428BCA"/>
            <w:sz w:val="21"/>
            <w:szCs w:val="21"/>
            <w:lang w:eastAsia="ru-RU"/>
          </w:rPr>
          <w:t xml:space="preserve">Письмо </w:t>
        </w:r>
        <w:proofErr w:type="spellStart"/>
        <w:r w:rsidRPr="00B573DB">
          <w:rPr>
            <w:rFonts w:ascii="Verdana" w:hAnsi="Verdana" w:cs="Times New Roman"/>
            <w:color w:val="428BCA"/>
            <w:sz w:val="21"/>
            <w:szCs w:val="21"/>
            <w:lang w:eastAsia="ru-RU"/>
          </w:rPr>
          <w:t>Росавтодора</w:t>
        </w:r>
        <w:proofErr w:type="spellEnd"/>
        <w:r w:rsidRPr="00B573DB">
          <w:rPr>
            <w:rFonts w:ascii="Verdana" w:hAnsi="Verdana" w:cs="Times New Roman"/>
            <w:color w:val="428BCA"/>
            <w:sz w:val="21"/>
            <w:szCs w:val="21"/>
            <w:lang w:eastAsia="ru-RU"/>
          </w:rPr>
          <w:t xml:space="preserve"> от 28.08.2015 № 03-28/26212 «О разъяснении применения отдельных положений законодательства в сфере выдачи разрешений на перевозку грузов»</w:t>
        </w:r>
      </w:hyperlink>
    </w:p>
    <w:p w14:paraId="6494A5A8" w14:textId="77777777" w:rsidR="00B573DB" w:rsidRPr="00B573DB" w:rsidRDefault="00B573DB" w:rsidP="00B573DB">
      <w:pPr>
        <w:spacing w:after="150"/>
        <w:rPr>
          <w:rFonts w:ascii="Verdana" w:hAnsi="Verdana" w:cs="Times New Roman"/>
          <w:color w:val="333333"/>
          <w:sz w:val="21"/>
          <w:szCs w:val="21"/>
          <w:lang w:eastAsia="ru-RU"/>
        </w:rPr>
      </w:pP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3. 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Так же необходимо предоставлять платежные документы, подтверждающие оплату государственной пошлины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 (в соответствии с частью 11 статьи 31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подпунктом 6 пункта 1 статьи 333.18, подпунктом 111 пункта 1 статьи 333.33 главы 25.3 Налогового кодекса Российской Федерации).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  <w:t>Подача (прием) заявления о выдаче специального разрешения осуществляется по факту подтверждения уплаты государственной пошлины </w:t>
      </w:r>
      <w:hyperlink r:id="rId7" w:tgtFrame="_blank" w:history="1">
        <w:r w:rsidRPr="00B573DB">
          <w:rPr>
            <w:rFonts w:ascii="Verdana" w:hAnsi="Verdana" w:cs="Times New Roman"/>
            <w:color w:val="428BCA"/>
            <w:sz w:val="21"/>
            <w:szCs w:val="21"/>
            <w:lang w:eastAsia="ru-RU"/>
          </w:rPr>
          <w:t>(Письм</w:t>
        </w:r>
        <w:bookmarkStart w:id="0" w:name="_GoBack"/>
        <w:bookmarkEnd w:id="0"/>
        <w:r w:rsidRPr="00B573DB">
          <w:rPr>
            <w:rFonts w:ascii="Verdana" w:hAnsi="Verdana" w:cs="Times New Roman"/>
            <w:color w:val="428BCA"/>
            <w:sz w:val="21"/>
            <w:szCs w:val="21"/>
            <w:lang w:eastAsia="ru-RU"/>
          </w:rPr>
          <w:t>о Минфина России от 13.08.2015 N 03-05-05-03/46709)</w:t>
        </w:r>
      </w:hyperlink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. Без предоставления документов, подтверждающих оплату государственной пошлины документы к рассмотрению,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не принимаются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.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br/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В случае отказа уполномоченным органом в выдаче специального разрешения либо добровольного отказа заявителя (перевозчика) от получения специального разрешения после обращения в уполномоченный орган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 за совершением указанного юридически значимого действия, возврат государственной пошлины, уплаченной за предоставление специального разрешения, а также зачет излишне уплаченной суммы государственной пошлины в счет суммы государственной пошлины, подлежащей уплате за совершение аналогичного действия, </w:t>
      </w:r>
      <w:r w:rsidRPr="00B573DB">
        <w:rPr>
          <w:rFonts w:ascii="Verdana" w:hAnsi="Verdana" w:cs="Times New Roman"/>
          <w:b/>
          <w:bCs/>
          <w:color w:val="333333"/>
          <w:sz w:val="21"/>
          <w:szCs w:val="21"/>
          <w:lang w:eastAsia="ru-RU"/>
        </w:rPr>
        <w:t>не производится</w:t>
      </w:r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 </w:t>
      </w:r>
      <w:hyperlink r:id="rId8" w:history="1">
        <w:r w:rsidRPr="00B573DB">
          <w:rPr>
            <w:rFonts w:ascii="Verdana" w:hAnsi="Verdana" w:cs="Times New Roman"/>
            <w:color w:val="428BCA"/>
            <w:sz w:val="21"/>
            <w:szCs w:val="21"/>
            <w:lang w:eastAsia="ru-RU"/>
          </w:rPr>
          <w:t>(Письмо Минфина России от 21.08.2015 N 03-05-04-03/48279)</w:t>
        </w:r>
      </w:hyperlink>
      <w:r w:rsidRPr="00B573DB">
        <w:rPr>
          <w:rFonts w:ascii="Verdana" w:hAnsi="Verdana" w:cs="Times New Roman"/>
          <w:color w:val="333333"/>
          <w:sz w:val="21"/>
          <w:szCs w:val="21"/>
          <w:lang w:eastAsia="ru-RU"/>
        </w:rPr>
        <w:t>.</w:t>
      </w:r>
    </w:p>
    <w:p w14:paraId="35A40B0E" w14:textId="77777777" w:rsidR="00B31DE8" w:rsidRDefault="00B573DB"/>
    <w:sectPr w:rsidR="00B31DE8" w:rsidSect="00620B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B"/>
    <w:rsid w:val="00620B69"/>
    <w:rsid w:val="00A21BB0"/>
    <w:rsid w:val="00B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F17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3D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3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73D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573DB"/>
  </w:style>
  <w:style w:type="character" w:styleId="a4">
    <w:name w:val="Strong"/>
    <w:basedOn w:val="a0"/>
    <w:uiPriority w:val="22"/>
    <w:qFormat/>
    <w:rsid w:val="00B573DB"/>
    <w:rPr>
      <w:b/>
      <w:bCs/>
    </w:rPr>
  </w:style>
  <w:style w:type="character" w:styleId="a5">
    <w:name w:val="Hyperlink"/>
    <w:basedOn w:val="a0"/>
    <w:uiPriority w:val="99"/>
    <w:semiHidden/>
    <w:unhideWhenUsed/>
    <w:rsid w:val="00B57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omskavtodor.ru/wp-content/uploads/2018/01/Zayavlenie-na-poluchenie-razresheniya.xlsx" TargetMode="External"/><Relationship Id="rId5" Type="http://schemas.openxmlformats.org/officeDocument/2006/relationships/hyperlink" Target="http://tomskavtodor.ru/wp-content/uploads/2016/06/%D0%A1%D1%85%D0%B5%D0%BC%D0%B0-%D0%A2%D0%A1.docx" TargetMode="External"/><Relationship Id="rId6" Type="http://schemas.openxmlformats.org/officeDocument/2006/relationships/hyperlink" Target="http://tomskavtodor.ru/wp-content/uploads/2016/02/%D0%9F%D0%B8%D1%81%D1%8C%D0%BC%D0%BE-%D0%A0%D0%BE%D1%81%D0%B0%D0%B2%D1%82%D0%BE%D0%B4%D0%BE%D1%80%D0%B0-03-28-26212-%D0%BE%D1%82-28.08.151.pdf" TargetMode="External"/><Relationship Id="rId7" Type="http://schemas.openxmlformats.org/officeDocument/2006/relationships/hyperlink" Target="http://tomskavtodor.ru/wp-content/uploads/2016/02/%D0%9F%D0%B8%D1%81%D1%8C%D0%BC%D0%BE-%D0%9C%D0%B8%D0%BD%D1%84%D0%B8%D0%BD%D0%B0-%D0%A0%D0%BE%D1%81%D1%81%D0%B8%D0%B8-%D0%BE%D1%82-13.08.2015-N-03-05-05-0346709.pdf" TargetMode="External"/><Relationship Id="rId8" Type="http://schemas.openxmlformats.org/officeDocument/2006/relationships/hyperlink" Target="http://tomskavtodor.ru/wp-content/uploads/2016/02/%D0%9F%D0%B8%D1%81%D1%8C%D0%BC%D0%BE-%D0%9C%D0%B8%D0%BD%D1%84%D0%B8%D0%BD%D0%B0-%D0%A0%D0%BE%D1%81%D1%81%D0%B8%D0%B8-%D0%BE%D1%82-21.08.2015-N-03-05-04-0348279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5069</Characters>
  <Application>Microsoft Macintosh Word</Application>
  <DocSecurity>0</DocSecurity>
  <Lines>42</Lines>
  <Paragraphs>11</Paragraphs>
  <ScaleCrop>false</ScaleCrop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2019-02-07T18:26:00Z</dcterms:created>
  <dcterms:modified xsi:type="dcterms:W3CDTF">2019-02-07T18:29:00Z</dcterms:modified>
</cp:coreProperties>
</file>